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920FDC" w14:textId="42EEF6F9" w:rsidR="00914540" w:rsidRPr="00E175CC" w:rsidRDefault="00525501" w:rsidP="00EF761F">
      <w:pPr>
        <w:spacing w:after="120" w:line="360" w:lineRule="auto"/>
        <w:jc w:val="center"/>
        <w:rPr>
          <w:rFonts w:asciiTheme="majorBidi" w:hAnsiTheme="majorBidi" w:cstheme="majorBidi"/>
          <w:b/>
          <w:bCs/>
          <w:sz w:val="24"/>
          <w:szCs w:val="24"/>
        </w:rPr>
      </w:pPr>
      <w:r w:rsidRPr="00E175CC">
        <w:rPr>
          <w:rFonts w:asciiTheme="majorBidi" w:hAnsiTheme="majorBidi" w:cstheme="majorBidi"/>
          <w:b/>
          <w:bCs/>
          <w:sz w:val="24"/>
          <w:szCs w:val="24"/>
        </w:rPr>
        <w:t>Alternatives to kingship in Byzantium and beyond</w:t>
      </w:r>
    </w:p>
    <w:p w14:paraId="09E5F299" w14:textId="0F42805A" w:rsidR="000A5E03" w:rsidRDefault="000A5E03" w:rsidP="00EF761F">
      <w:pPr>
        <w:spacing w:after="0" w:line="360" w:lineRule="auto"/>
        <w:jc w:val="center"/>
        <w:rPr>
          <w:rFonts w:asciiTheme="majorBidi" w:hAnsiTheme="majorBidi" w:cstheme="majorBidi"/>
          <w:sz w:val="24"/>
          <w:szCs w:val="24"/>
        </w:rPr>
      </w:pPr>
      <w:r w:rsidRPr="00E175CC">
        <w:rPr>
          <w:rFonts w:asciiTheme="majorBidi" w:hAnsiTheme="majorBidi" w:cstheme="majorBidi"/>
          <w:sz w:val="24"/>
          <w:szCs w:val="24"/>
        </w:rPr>
        <w:t>Guillermo Menéndez Sánchez, Giorgia Nicosia, Peter Van Nuffelen</w:t>
      </w:r>
    </w:p>
    <w:p w14:paraId="7E1BD2BD" w14:textId="4A5F2F37" w:rsidR="00E175CC" w:rsidRPr="00E175CC" w:rsidRDefault="00E175CC" w:rsidP="00EF761F">
      <w:pPr>
        <w:spacing w:after="240" w:line="360" w:lineRule="auto"/>
        <w:jc w:val="center"/>
        <w:rPr>
          <w:rFonts w:asciiTheme="majorBidi" w:hAnsiTheme="majorBidi" w:cstheme="majorBidi"/>
          <w:sz w:val="24"/>
          <w:szCs w:val="24"/>
        </w:rPr>
      </w:pPr>
      <w:r>
        <w:rPr>
          <w:rFonts w:asciiTheme="majorBidi" w:hAnsiTheme="majorBidi" w:cstheme="majorBidi"/>
          <w:sz w:val="24"/>
          <w:szCs w:val="24"/>
        </w:rPr>
        <w:t>Ghent University</w:t>
      </w:r>
    </w:p>
    <w:p w14:paraId="252B891E" w14:textId="1C3A9D71" w:rsidR="00525501" w:rsidRPr="00E175CC" w:rsidRDefault="00525501" w:rsidP="00EF761F">
      <w:pPr>
        <w:spacing w:line="360" w:lineRule="auto"/>
        <w:jc w:val="both"/>
        <w:rPr>
          <w:rFonts w:asciiTheme="majorBidi" w:hAnsiTheme="majorBidi" w:cstheme="majorBidi"/>
          <w:sz w:val="24"/>
          <w:szCs w:val="24"/>
        </w:rPr>
      </w:pPr>
      <w:r w:rsidRPr="00E175CC">
        <w:rPr>
          <w:rFonts w:asciiTheme="majorBidi" w:hAnsiTheme="majorBidi" w:cstheme="majorBidi"/>
          <w:sz w:val="24"/>
          <w:szCs w:val="24"/>
        </w:rPr>
        <w:t>Kingship is the dominant form of political authority in the Byzantine commonwealth and has accordingly received most attention in the study of political thought. But it was far from the only form that political authority could take. This workshop explore</w:t>
      </w:r>
      <w:r w:rsidR="00EF7C39" w:rsidRPr="00E175CC">
        <w:rPr>
          <w:rFonts w:asciiTheme="majorBidi" w:hAnsiTheme="majorBidi" w:cstheme="majorBidi"/>
          <w:sz w:val="24"/>
          <w:szCs w:val="24"/>
        </w:rPr>
        <w:t>s</w:t>
      </w:r>
      <w:r w:rsidRPr="00E175CC">
        <w:rPr>
          <w:rFonts w:asciiTheme="majorBidi" w:hAnsiTheme="majorBidi" w:cstheme="majorBidi"/>
          <w:sz w:val="24"/>
          <w:szCs w:val="24"/>
        </w:rPr>
        <w:t xml:space="preserve"> alternative modes of governance, presenting four case</w:t>
      </w:r>
      <w:r w:rsidR="00837B93">
        <w:rPr>
          <w:rFonts w:asciiTheme="majorBidi" w:hAnsiTheme="majorBidi" w:cstheme="majorBidi"/>
          <w:sz w:val="24"/>
          <w:szCs w:val="24"/>
        </w:rPr>
        <w:t>-</w:t>
      </w:r>
      <w:r w:rsidRPr="00E175CC">
        <w:rPr>
          <w:rFonts w:asciiTheme="majorBidi" w:hAnsiTheme="majorBidi" w:cstheme="majorBidi"/>
          <w:sz w:val="24"/>
          <w:szCs w:val="24"/>
        </w:rPr>
        <w:t>studies from different linguistic and cultural milieux from Byzantium and beyond</w:t>
      </w:r>
      <w:r w:rsidR="003E20E6" w:rsidRPr="00E175CC">
        <w:rPr>
          <w:rFonts w:asciiTheme="majorBidi" w:hAnsiTheme="majorBidi" w:cstheme="majorBidi"/>
          <w:sz w:val="24"/>
          <w:szCs w:val="24"/>
        </w:rPr>
        <w:t xml:space="preserve">. </w:t>
      </w:r>
      <w:r w:rsidR="00C73E5B" w:rsidRPr="00E175CC">
        <w:rPr>
          <w:rFonts w:asciiTheme="majorBidi" w:hAnsiTheme="majorBidi" w:cstheme="majorBidi"/>
          <w:sz w:val="24"/>
          <w:szCs w:val="24"/>
        </w:rPr>
        <w:t xml:space="preserve"> </w:t>
      </w:r>
    </w:p>
    <w:p w14:paraId="6D831C6D" w14:textId="4AD3A99E" w:rsidR="00525501" w:rsidRPr="00E175CC" w:rsidRDefault="00485E60" w:rsidP="00485E60">
      <w:pPr>
        <w:spacing w:line="360" w:lineRule="auto"/>
        <w:jc w:val="both"/>
        <w:rPr>
          <w:rFonts w:asciiTheme="majorBidi" w:hAnsiTheme="majorBidi" w:cstheme="majorBidi"/>
          <w:sz w:val="24"/>
          <w:szCs w:val="24"/>
        </w:rPr>
      </w:pPr>
      <w:r w:rsidRPr="00485E60">
        <w:rPr>
          <w:rFonts w:asciiTheme="majorBidi" w:hAnsiTheme="majorBidi" w:cstheme="majorBidi"/>
          <w:sz w:val="24"/>
          <w:szCs w:val="24"/>
          <w:lang w:val="en-US"/>
        </w:rPr>
        <w:t>Håkon Teigen explores elect-based groups through a case-study of the Egyptian Manichean communities (3rd -5th centuries). Coptic Manichean texts often evince strong hostility towards the world</w:t>
      </w:r>
      <w:r w:rsidR="001C2680">
        <w:rPr>
          <w:rFonts w:asciiTheme="majorBidi" w:hAnsiTheme="majorBidi" w:cstheme="majorBidi"/>
          <w:sz w:val="24"/>
          <w:szCs w:val="24"/>
          <w:lang w:val="en-US"/>
        </w:rPr>
        <w:t>’</w:t>
      </w:r>
      <w:r w:rsidRPr="00485E60">
        <w:rPr>
          <w:rFonts w:asciiTheme="majorBidi" w:hAnsiTheme="majorBidi" w:cstheme="majorBidi"/>
          <w:sz w:val="24"/>
          <w:szCs w:val="24"/>
          <w:lang w:val="en-US"/>
        </w:rPr>
        <w:t>s authorities, yet the church was also enmeshed in its power structures. By analyzing royal metaphors in these sources, the paper presents a new approach to Manichaean thinking about social power</w:t>
      </w:r>
      <w:r w:rsidR="00BF5056" w:rsidRPr="00E175CC">
        <w:rPr>
          <w:rFonts w:asciiTheme="majorBidi" w:hAnsiTheme="majorBidi" w:cstheme="majorBidi"/>
          <w:sz w:val="24"/>
          <w:szCs w:val="24"/>
        </w:rPr>
        <w:t>.</w:t>
      </w:r>
    </w:p>
    <w:p w14:paraId="6E966494" w14:textId="79816A22" w:rsidR="00E35A32" w:rsidRPr="00E175CC" w:rsidRDefault="0093739A" w:rsidP="00EF761F">
      <w:pPr>
        <w:spacing w:line="360" w:lineRule="auto"/>
        <w:jc w:val="both"/>
        <w:rPr>
          <w:rFonts w:asciiTheme="majorBidi" w:hAnsiTheme="majorBidi" w:cstheme="majorBidi"/>
          <w:sz w:val="24"/>
          <w:szCs w:val="24"/>
          <w:lang w:val="en-GB"/>
        </w:rPr>
      </w:pPr>
      <w:r w:rsidRPr="00E175CC">
        <w:rPr>
          <w:rFonts w:asciiTheme="majorBidi" w:hAnsiTheme="majorBidi" w:cstheme="majorBidi"/>
          <w:sz w:val="24"/>
          <w:szCs w:val="24"/>
        </w:rPr>
        <w:t>Anna Giaconia</w:t>
      </w:r>
      <w:r w:rsidR="00A709CF" w:rsidRPr="00E175CC">
        <w:rPr>
          <w:rFonts w:asciiTheme="majorBidi" w:hAnsiTheme="majorBidi" w:cstheme="majorBidi"/>
          <w:sz w:val="24"/>
          <w:szCs w:val="24"/>
        </w:rPr>
        <w:t xml:space="preserve"> </w:t>
      </w:r>
      <w:r w:rsidR="000427B1" w:rsidRPr="00E175CC">
        <w:rPr>
          <w:rFonts w:asciiTheme="majorBidi" w:hAnsiTheme="majorBidi" w:cstheme="majorBidi"/>
          <w:sz w:val="24"/>
          <w:szCs w:val="24"/>
          <w:lang w:val="en-GB"/>
        </w:rPr>
        <w:t>explore</w:t>
      </w:r>
      <w:r w:rsidR="00A709CF" w:rsidRPr="00E175CC">
        <w:rPr>
          <w:rFonts w:asciiTheme="majorBidi" w:hAnsiTheme="majorBidi" w:cstheme="majorBidi"/>
          <w:sz w:val="24"/>
          <w:szCs w:val="24"/>
          <w:lang w:val="en-GB"/>
        </w:rPr>
        <w:t>s</w:t>
      </w:r>
      <w:r w:rsidR="000427B1" w:rsidRPr="00E175CC">
        <w:rPr>
          <w:rFonts w:asciiTheme="majorBidi" w:hAnsiTheme="majorBidi" w:cstheme="majorBidi"/>
          <w:sz w:val="24"/>
          <w:szCs w:val="24"/>
          <w:lang w:val="en-GB"/>
        </w:rPr>
        <w:t xml:space="preserve"> how the Church of the East regulate</w:t>
      </w:r>
      <w:r w:rsidR="00495942" w:rsidRPr="00E175CC">
        <w:rPr>
          <w:rFonts w:asciiTheme="majorBidi" w:hAnsiTheme="majorBidi" w:cstheme="majorBidi"/>
          <w:sz w:val="24"/>
          <w:szCs w:val="24"/>
          <w:lang w:val="en-GB"/>
        </w:rPr>
        <w:t>d</w:t>
      </w:r>
      <w:r w:rsidR="000427B1" w:rsidRPr="00E175CC">
        <w:rPr>
          <w:rFonts w:asciiTheme="majorBidi" w:hAnsiTheme="majorBidi" w:cstheme="majorBidi"/>
          <w:sz w:val="24"/>
          <w:szCs w:val="24"/>
          <w:lang w:val="en-GB"/>
        </w:rPr>
        <w:t xml:space="preserve"> sexuality</w:t>
      </w:r>
      <w:r w:rsidR="004B69DE">
        <w:rPr>
          <w:rFonts w:asciiTheme="majorBidi" w:hAnsiTheme="majorBidi" w:cstheme="majorBidi"/>
          <w:sz w:val="24"/>
          <w:szCs w:val="24"/>
          <w:lang w:val="en-GB"/>
        </w:rPr>
        <w:t xml:space="preserve"> by</w:t>
      </w:r>
      <w:r w:rsidR="000427B1" w:rsidRPr="00E175CC">
        <w:rPr>
          <w:rFonts w:asciiTheme="majorBidi" w:hAnsiTheme="majorBidi" w:cstheme="majorBidi"/>
          <w:sz w:val="24"/>
          <w:szCs w:val="24"/>
          <w:lang w:val="en-GB"/>
        </w:rPr>
        <w:t xml:space="preserve"> controlling women’s reproductiv</w:t>
      </w:r>
      <w:r w:rsidR="00EC53D1" w:rsidRPr="00E175CC">
        <w:rPr>
          <w:rFonts w:asciiTheme="majorBidi" w:hAnsiTheme="majorBidi" w:cstheme="majorBidi"/>
          <w:sz w:val="24"/>
          <w:szCs w:val="24"/>
          <w:lang w:val="en-GB"/>
        </w:rPr>
        <w:t>ity</w:t>
      </w:r>
      <w:r w:rsidR="000427B1" w:rsidRPr="00E175CC">
        <w:rPr>
          <w:rFonts w:asciiTheme="majorBidi" w:hAnsiTheme="majorBidi" w:cstheme="majorBidi"/>
          <w:sz w:val="24"/>
          <w:szCs w:val="24"/>
          <w:lang w:val="en-GB"/>
        </w:rPr>
        <w:t xml:space="preserve"> and the formation of families. </w:t>
      </w:r>
      <w:r w:rsidR="00A709CF" w:rsidRPr="00E175CC">
        <w:rPr>
          <w:rFonts w:asciiTheme="majorBidi" w:hAnsiTheme="majorBidi" w:cstheme="majorBidi"/>
          <w:sz w:val="24"/>
          <w:szCs w:val="24"/>
        </w:rPr>
        <w:t>T</w:t>
      </w:r>
      <w:proofErr w:type="spellStart"/>
      <w:r w:rsidR="00A709CF" w:rsidRPr="00E175CC">
        <w:rPr>
          <w:rFonts w:asciiTheme="majorBidi" w:hAnsiTheme="majorBidi" w:cstheme="majorBidi"/>
          <w:sz w:val="24"/>
          <w:szCs w:val="24"/>
          <w:lang w:val="en-GB"/>
        </w:rPr>
        <w:t>hrough</w:t>
      </w:r>
      <w:proofErr w:type="spellEnd"/>
      <w:r w:rsidR="00A709CF" w:rsidRPr="00E175CC">
        <w:rPr>
          <w:rFonts w:asciiTheme="majorBidi" w:hAnsiTheme="majorBidi" w:cstheme="majorBidi"/>
          <w:sz w:val="24"/>
          <w:szCs w:val="24"/>
          <w:lang w:val="en-GB"/>
        </w:rPr>
        <w:t xml:space="preserve"> an analysis of</w:t>
      </w:r>
      <w:r w:rsidR="00907B26" w:rsidRPr="00E175CC">
        <w:rPr>
          <w:rFonts w:asciiTheme="majorBidi" w:hAnsiTheme="majorBidi" w:cstheme="majorBidi"/>
          <w:sz w:val="24"/>
          <w:szCs w:val="24"/>
          <w:lang w:val="en-GB"/>
        </w:rPr>
        <w:t xml:space="preserve"> 7</w:t>
      </w:r>
      <w:r w:rsidR="00907B26" w:rsidRPr="00E175CC">
        <w:rPr>
          <w:rFonts w:asciiTheme="majorBidi" w:hAnsiTheme="majorBidi" w:cstheme="majorBidi"/>
          <w:sz w:val="24"/>
          <w:szCs w:val="24"/>
          <w:vertAlign w:val="superscript"/>
          <w:lang w:val="en-GB"/>
        </w:rPr>
        <w:t>th</w:t>
      </w:r>
      <w:r w:rsidR="00907B26" w:rsidRPr="00E175CC">
        <w:rPr>
          <w:rFonts w:asciiTheme="majorBidi" w:hAnsiTheme="majorBidi" w:cstheme="majorBidi"/>
          <w:sz w:val="24"/>
          <w:szCs w:val="24"/>
          <w:lang w:val="en-GB"/>
        </w:rPr>
        <w:t>-c.</w:t>
      </w:r>
      <w:r w:rsidR="00A709CF" w:rsidRPr="00E175CC">
        <w:rPr>
          <w:rFonts w:asciiTheme="majorBidi" w:hAnsiTheme="majorBidi" w:cstheme="majorBidi"/>
          <w:sz w:val="24"/>
          <w:szCs w:val="24"/>
          <w:lang w:val="en-GB"/>
        </w:rPr>
        <w:t xml:space="preserve"> legal documents from the East Syriac tradition</w:t>
      </w:r>
      <w:r w:rsidR="00EC53D1" w:rsidRPr="00E175CC">
        <w:rPr>
          <w:rFonts w:asciiTheme="majorBidi" w:hAnsiTheme="majorBidi" w:cstheme="majorBidi"/>
          <w:sz w:val="24"/>
          <w:szCs w:val="24"/>
          <w:lang w:val="en-GB"/>
        </w:rPr>
        <w:t xml:space="preserve"> and comparisons with </w:t>
      </w:r>
      <w:r w:rsidR="00093896" w:rsidRPr="00E175CC">
        <w:rPr>
          <w:rFonts w:asciiTheme="majorBidi" w:hAnsiTheme="majorBidi" w:cstheme="majorBidi"/>
          <w:sz w:val="24"/>
          <w:szCs w:val="24"/>
          <w:lang w:val="en-GB"/>
        </w:rPr>
        <w:t xml:space="preserve">Byzantine sources, she traces how </w:t>
      </w:r>
      <w:r w:rsidR="00865F89" w:rsidRPr="00E175CC">
        <w:rPr>
          <w:rFonts w:asciiTheme="majorBidi" w:hAnsiTheme="majorBidi" w:cstheme="majorBidi"/>
          <w:sz w:val="24"/>
          <w:szCs w:val="24"/>
          <w:lang w:val="en-GB"/>
        </w:rPr>
        <w:t xml:space="preserve">ecclesiastical regulations </w:t>
      </w:r>
      <w:r w:rsidR="00E35A32" w:rsidRPr="00E175CC">
        <w:rPr>
          <w:rFonts w:asciiTheme="majorBidi" w:hAnsiTheme="majorBidi" w:cstheme="majorBidi"/>
          <w:sz w:val="24"/>
          <w:szCs w:val="24"/>
          <w:lang w:val="en-GB"/>
        </w:rPr>
        <w:t>shaped the lives of Christian women under the Sasanian and Early Islamic empires.</w:t>
      </w:r>
    </w:p>
    <w:p w14:paraId="51E29534" w14:textId="5A118229" w:rsidR="0093739A" w:rsidRPr="00E175CC" w:rsidRDefault="0093739A" w:rsidP="00EF761F">
      <w:pPr>
        <w:spacing w:line="360" w:lineRule="auto"/>
        <w:jc w:val="both"/>
        <w:rPr>
          <w:rFonts w:asciiTheme="majorBidi" w:hAnsiTheme="majorBidi" w:cstheme="majorBidi"/>
          <w:sz w:val="24"/>
          <w:szCs w:val="24"/>
        </w:rPr>
      </w:pPr>
      <w:r w:rsidRPr="00E175CC">
        <w:rPr>
          <w:rFonts w:asciiTheme="majorBidi" w:hAnsiTheme="majorBidi" w:cstheme="majorBidi"/>
          <w:sz w:val="24"/>
          <w:szCs w:val="24"/>
        </w:rPr>
        <w:t>Thomas Girault</w:t>
      </w:r>
      <w:r w:rsidR="003237AB" w:rsidRPr="00E175CC">
        <w:rPr>
          <w:rFonts w:asciiTheme="majorBidi" w:hAnsiTheme="majorBidi" w:cstheme="majorBidi"/>
          <w:sz w:val="24"/>
          <w:szCs w:val="24"/>
        </w:rPr>
        <w:t xml:space="preserve"> </w:t>
      </w:r>
      <w:r w:rsidR="00E04D1A" w:rsidRPr="00E175CC">
        <w:rPr>
          <w:rFonts w:asciiTheme="majorBidi" w:hAnsiTheme="majorBidi" w:cstheme="majorBidi"/>
          <w:sz w:val="24"/>
          <w:szCs w:val="24"/>
        </w:rPr>
        <w:t xml:space="preserve">studies the </w:t>
      </w:r>
      <w:r w:rsidR="00E04D1A" w:rsidRPr="00E175CC">
        <w:rPr>
          <w:rFonts w:asciiTheme="majorBidi" w:hAnsiTheme="majorBidi" w:cstheme="majorBidi"/>
          <w:i/>
          <w:iCs/>
          <w:sz w:val="24"/>
          <w:szCs w:val="24"/>
        </w:rPr>
        <w:t>naxarar</w:t>
      </w:r>
      <w:r w:rsidR="00B52CB6">
        <w:rPr>
          <w:rFonts w:asciiTheme="majorBidi" w:hAnsiTheme="majorBidi" w:cstheme="majorBidi"/>
          <w:i/>
          <w:iCs/>
          <w:sz w:val="24"/>
          <w:szCs w:val="24"/>
        </w:rPr>
        <w:t xml:space="preserve"> </w:t>
      </w:r>
      <w:r w:rsidR="00E04D1A" w:rsidRPr="00E175CC">
        <w:rPr>
          <w:rFonts w:asciiTheme="majorBidi" w:hAnsiTheme="majorBidi" w:cstheme="majorBidi"/>
          <w:sz w:val="24"/>
          <w:szCs w:val="24"/>
        </w:rPr>
        <w:t>system in Sassanian Armenia</w:t>
      </w:r>
      <w:r w:rsidR="00BD5720" w:rsidRPr="00E175CC">
        <w:rPr>
          <w:rFonts w:asciiTheme="majorBidi" w:hAnsiTheme="majorBidi" w:cstheme="majorBidi"/>
          <w:sz w:val="24"/>
          <w:szCs w:val="24"/>
        </w:rPr>
        <w:t xml:space="preserve"> (428-646). The </w:t>
      </w:r>
      <w:r w:rsidR="00BD5720" w:rsidRPr="00E175CC">
        <w:rPr>
          <w:rFonts w:asciiTheme="majorBidi" w:hAnsiTheme="majorBidi" w:cstheme="majorBidi"/>
          <w:i/>
          <w:iCs/>
          <w:sz w:val="24"/>
          <w:szCs w:val="24"/>
        </w:rPr>
        <w:t>naxarark'</w:t>
      </w:r>
      <w:r w:rsidR="00BD5720" w:rsidRPr="00E175CC">
        <w:rPr>
          <w:rFonts w:asciiTheme="majorBidi" w:hAnsiTheme="majorBidi" w:cstheme="majorBidi"/>
          <w:sz w:val="24"/>
          <w:szCs w:val="24"/>
        </w:rPr>
        <w:t xml:space="preserve">, </w:t>
      </w:r>
      <w:r w:rsidR="00CF02F5" w:rsidRPr="00E175CC">
        <w:rPr>
          <w:rFonts w:asciiTheme="majorBidi" w:hAnsiTheme="majorBidi" w:cstheme="majorBidi"/>
          <w:sz w:val="24"/>
          <w:szCs w:val="24"/>
        </w:rPr>
        <w:t xml:space="preserve">the highest elites </w:t>
      </w:r>
      <w:r w:rsidR="004139BC" w:rsidRPr="00E175CC">
        <w:rPr>
          <w:rFonts w:asciiTheme="majorBidi" w:hAnsiTheme="majorBidi" w:cstheme="majorBidi"/>
          <w:sz w:val="24"/>
          <w:szCs w:val="24"/>
        </w:rPr>
        <w:t xml:space="preserve">that </w:t>
      </w:r>
      <w:r w:rsidR="001B506B">
        <w:rPr>
          <w:rFonts w:asciiTheme="majorBidi" w:hAnsiTheme="majorBidi" w:cstheme="majorBidi"/>
          <w:sz w:val="24"/>
          <w:szCs w:val="24"/>
        </w:rPr>
        <w:t xml:space="preserve">even </w:t>
      </w:r>
      <w:r w:rsidR="004139BC" w:rsidRPr="00E175CC">
        <w:rPr>
          <w:rFonts w:asciiTheme="majorBidi" w:hAnsiTheme="majorBidi" w:cstheme="majorBidi"/>
          <w:sz w:val="24"/>
          <w:szCs w:val="24"/>
        </w:rPr>
        <w:t>triggered</w:t>
      </w:r>
      <w:r w:rsidR="00BD5720" w:rsidRPr="00E175CC">
        <w:rPr>
          <w:rFonts w:asciiTheme="majorBidi" w:hAnsiTheme="majorBidi" w:cstheme="majorBidi"/>
          <w:sz w:val="24"/>
          <w:szCs w:val="24"/>
        </w:rPr>
        <w:t xml:space="preserve"> the end of kingship in Armenia,</w:t>
      </w:r>
      <w:r w:rsidR="00F76174" w:rsidRPr="00E175CC">
        <w:rPr>
          <w:rFonts w:asciiTheme="majorBidi" w:hAnsiTheme="majorBidi" w:cstheme="majorBidi"/>
          <w:sz w:val="24"/>
          <w:szCs w:val="24"/>
        </w:rPr>
        <w:t xml:space="preserve"> </w:t>
      </w:r>
      <w:r w:rsidR="00CF02F5" w:rsidRPr="00E175CC">
        <w:rPr>
          <w:rFonts w:asciiTheme="majorBidi" w:hAnsiTheme="majorBidi" w:cstheme="majorBidi"/>
          <w:sz w:val="24"/>
          <w:szCs w:val="24"/>
        </w:rPr>
        <w:t xml:space="preserve">created </w:t>
      </w:r>
      <w:r w:rsidR="00637CC5" w:rsidRPr="00E175CC">
        <w:rPr>
          <w:rFonts w:asciiTheme="majorBidi" w:hAnsiTheme="majorBidi" w:cstheme="majorBidi"/>
          <w:sz w:val="24"/>
          <w:szCs w:val="24"/>
        </w:rPr>
        <w:t>legitimacy through collective decisions: authority emanate</w:t>
      </w:r>
      <w:r w:rsidR="00B52CB6">
        <w:rPr>
          <w:rFonts w:asciiTheme="majorBidi" w:hAnsiTheme="majorBidi" w:cstheme="majorBidi"/>
          <w:sz w:val="24"/>
          <w:szCs w:val="24"/>
        </w:rPr>
        <w:t>d</w:t>
      </w:r>
      <w:r w:rsidR="00637CC5" w:rsidRPr="00E175CC">
        <w:rPr>
          <w:rFonts w:asciiTheme="majorBidi" w:hAnsiTheme="majorBidi" w:cstheme="majorBidi"/>
          <w:sz w:val="24"/>
          <w:szCs w:val="24"/>
        </w:rPr>
        <w:t xml:space="preserve"> from unanimous consent</w:t>
      </w:r>
      <w:r w:rsidR="00773F27" w:rsidRPr="00E175CC">
        <w:rPr>
          <w:rFonts w:asciiTheme="majorBidi" w:hAnsiTheme="majorBidi" w:cstheme="majorBidi"/>
          <w:sz w:val="24"/>
          <w:szCs w:val="24"/>
        </w:rPr>
        <w:t xml:space="preserve">. The paper illustrates that kingship </w:t>
      </w:r>
      <w:r w:rsidR="00111C82" w:rsidRPr="00E175CC">
        <w:rPr>
          <w:rFonts w:asciiTheme="majorBidi" w:hAnsiTheme="majorBidi" w:cstheme="majorBidi"/>
          <w:sz w:val="24"/>
          <w:szCs w:val="24"/>
        </w:rPr>
        <w:t>could have been</w:t>
      </w:r>
      <w:r w:rsidR="00773F27" w:rsidRPr="00E175CC">
        <w:rPr>
          <w:rFonts w:asciiTheme="majorBidi" w:hAnsiTheme="majorBidi" w:cstheme="majorBidi"/>
          <w:sz w:val="24"/>
          <w:szCs w:val="24"/>
        </w:rPr>
        <w:t xml:space="preserve"> seen as something </w:t>
      </w:r>
      <w:r w:rsidR="0089004A" w:rsidRPr="00E175CC">
        <w:rPr>
          <w:rFonts w:asciiTheme="majorBidi" w:hAnsiTheme="majorBidi" w:cstheme="majorBidi"/>
          <w:sz w:val="24"/>
          <w:szCs w:val="24"/>
        </w:rPr>
        <w:t xml:space="preserve">even </w:t>
      </w:r>
      <w:r w:rsidR="00773F27" w:rsidRPr="00E175CC">
        <w:rPr>
          <w:rFonts w:asciiTheme="majorBidi" w:hAnsiTheme="majorBidi" w:cstheme="majorBidi"/>
          <w:sz w:val="24"/>
          <w:szCs w:val="24"/>
        </w:rPr>
        <w:t>undesirable for the ruling families of Persarmenia</w:t>
      </w:r>
      <w:r w:rsidR="004C2080" w:rsidRPr="00E175CC">
        <w:rPr>
          <w:rFonts w:asciiTheme="majorBidi" w:hAnsiTheme="majorBidi" w:cstheme="majorBidi"/>
          <w:sz w:val="24"/>
          <w:szCs w:val="24"/>
        </w:rPr>
        <w:t>,</w:t>
      </w:r>
      <w:r w:rsidR="00F76174" w:rsidRPr="00E175CC">
        <w:rPr>
          <w:rFonts w:asciiTheme="majorBidi" w:hAnsiTheme="majorBidi" w:cstheme="majorBidi"/>
          <w:sz w:val="24"/>
          <w:szCs w:val="24"/>
        </w:rPr>
        <w:t xml:space="preserve"> </w:t>
      </w:r>
      <w:r w:rsidR="00111C82" w:rsidRPr="00E175CC">
        <w:rPr>
          <w:rFonts w:asciiTheme="majorBidi" w:hAnsiTheme="majorBidi" w:cstheme="majorBidi"/>
          <w:sz w:val="24"/>
          <w:szCs w:val="24"/>
        </w:rPr>
        <w:t xml:space="preserve">and explains how the system continued </w:t>
      </w:r>
      <w:r w:rsidR="00A71F5D">
        <w:rPr>
          <w:rFonts w:asciiTheme="majorBidi" w:hAnsiTheme="majorBidi" w:cstheme="majorBidi"/>
          <w:sz w:val="24"/>
          <w:szCs w:val="24"/>
        </w:rPr>
        <w:t>to function</w:t>
      </w:r>
      <w:r w:rsidR="00111C82" w:rsidRPr="00E175CC">
        <w:rPr>
          <w:rFonts w:asciiTheme="majorBidi" w:hAnsiTheme="majorBidi" w:cstheme="majorBidi"/>
          <w:sz w:val="24"/>
          <w:szCs w:val="24"/>
        </w:rPr>
        <w:t xml:space="preserve"> without a king. </w:t>
      </w:r>
    </w:p>
    <w:p w14:paraId="296660F0" w14:textId="4C911246" w:rsidR="0039638B" w:rsidRPr="00E175CC" w:rsidRDefault="000C0AAE" w:rsidP="00EF761F">
      <w:pPr>
        <w:spacing w:line="360" w:lineRule="auto"/>
        <w:jc w:val="both"/>
        <w:rPr>
          <w:rFonts w:asciiTheme="majorBidi" w:hAnsiTheme="majorBidi" w:cstheme="majorBidi"/>
          <w:sz w:val="24"/>
          <w:szCs w:val="24"/>
        </w:rPr>
      </w:pPr>
      <w:r w:rsidRPr="00E175CC">
        <w:rPr>
          <w:rFonts w:asciiTheme="majorBidi" w:hAnsiTheme="majorBidi" w:cstheme="majorBidi"/>
          <w:sz w:val="24"/>
          <w:szCs w:val="24"/>
        </w:rPr>
        <w:t xml:space="preserve">Alison Vacca </w:t>
      </w:r>
      <w:r w:rsidR="00E41028" w:rsidRPr="00E175CC">
        <w:rPr>
          <w:rFonts w:asciiTheme="majorBidi" w:hAnsiTheme="majorBidi" w:cstheme="majorBidi"/>
          <w:sz w:val="24"/>
          <w:szCs w:val="24"/>
        </w:rPr>
        <w:t>turns to</w:t>
      </w:r>
      <w:r w:rsidR="00D52046" w:rsidRPr="00E175CC">
        <w:rPr>
          <w:rFonts w:asciiTheme="majorBidi" w:hAnsiTheme="majorBidi" w:cstheme="majorBidi"/>
          <w:sz w:val="24"/>
          <w:szCs w:val="24"/>
        </w:rPr>
        <w:t xml:space="preserve"> </w:t>
      </w:r>
      <w:r w:rsidR="00100F8F" w:rsidRPr="00E175CC">
        <w:rPr>
          <w:rFonts w:asciiTheme="majorBidi" w:hAnsiTheme="majorBidi" w:cstheme="majorBidi"/>
          <w:sz w:val="24"/>
          <w:szCs w:val="24"/>
        </w:rPr>
        <w:t xml:space="preserve">ecclesiastical elites </w:t>
      </w:r>
      <w:r w:rsidR="00E41028" w:rsidRPr="00E175CC">
        <w:rPr>
          <w:rFonts w:asciiTheme="majorBidi" w:hAnsiTheme="majorBidi" w:cstheme="majorBidi"/>
          <w:sz w:val="24"/>
          <w:szCs w:val="24"/>
        </w:rPr>
        <w:t xml:space="preserve">in late antique Armenia and Albania. </w:t>
      </w:r>
      <w:r w:rsidR="00907B26" w:rsidRPr="00E175CC">
        <w:rPr>
          <w:rFonts w:asciiTheme="majorBidi" w:hAnsiTheme="majorBidi" w:cstheme="majorBidi"/>
          <w:sz w:val="24"/>
          <w:szCs w:val="24"/>
        </w:rPr>
        <w:t>She</w:t>
      </w:r>
      <w:r w:rsidR="00057B9C" w:rsidRPr="00E175CC">
        <w:rPr>
          <w:rFonts w:asciiTheme="majorBidi" w:hAnsiTheme="majorBidi" w:cstheme="majorBidi"/>
          <w:sz w:val="24"/>
          <w:szCs w:val="24"/>
        </w:rPr>
        <w:t xml:space="preserve"> investigates the potentially controversial political role of</w:t>
      </w:r>
      <w:r w:rsidR="00A6197F" w:rsidRPr="00E175CC">
        <w:rPr>
          <w:rFonts w:asciiTheme="majorBidi" w:hAnsiTheme="majorBidi" w:cstheme="majorBidi"/>
          <w:sz w:val="24"/>
          <w:szCs w:val="24"/>
        </w:rPr>
        <w:t xml:space="preserve"> </w:t>
      </w:r>
      <w:r w:rsidR="00057B9C" w:rsidRPr="00E175CC">
        <w:rPr>
          <w:rFonts w:asciiTheme="majorBidi" w:hAnsiTheme="majorBidi" w:cstheme="majorBidi"/>
          <w:sz w:val="24"/>
          <w:szCs w:val="24"/>
        </w:rPr>
        <w:t xml:space="preserve">bishops, working alongside the </w:t>
      </w:r>
      <w:r w:rsidR="00057B9C" w:rsidRPr="00E175CC">
        <w:rPr>
          <w:rFonts w:asciiTheme="majorBidi" w:hAnsiTheme="majorBidi" w:cstheme="majorBidi"/>
          <w:i/>
          <w:iCs/>
          <w:sz w:val="24"/>
          <w:szCs w:val="24"/>
        </w:rPr>
        <w:t>naxararkʻ</w:t>
      </w:r>
      <w:r w:rsidR="00BC57DA" w:rsidRPr="00E175CC">
        <w:rPr>
          <w:rFonts w:asciiTheme="majorBidi" w:hAnsiTheme="majorBidi" w:cstheme="majorBidi"/>
          <w:sz w:val="24"/>
          <w:szCs w:val="24"/>
        </w:rPr>
        <w:t xml:space="preserve">, and </w:t>
      </w:r>
      <w:r w:rsidR="0039638B" w:rsidRPr="00E175CC">
        <w:rPr>
          <w:rFonts w:asciiTheme="majorBidi" w:hAnsiTheme="majorBidi" w:cstheme="majorBidi"/>
          <w:sz w:val="24"/>
          <w:szCs w:val="24"/>
        </w:rPr>
        <w:t xml:space="preserve">studies </w:t>
      </w:r>
      <w:r w:rsidR="00BC57DA" w:rsidRPr="00E175CC">
        <w:rPr>
          <w:rFonts w:asciiTheme="majorBidi" w:hAnsiTheme="majorBidi" w:cstheme="majorBidi"/>
          <w:sz w:val="24"/>
          <w:szCs w:val="24"/>
        </w:rPr>
        <w:t xml:space="preserve">their </w:t>
      </w:r>
      <w:r w:rsidR="00992BCC" w:rsidRPr="00E175CC">
        <w:rPr>
          <w:rFonts w:asciiTheme="majorBidi" w:hAnsiTheme="majorBidi" w:cstheme="majorBidi"/>
          <w:sz w:val="24"/>
          <w:szCs w:val="24"/>
        </w:rPr>
        <w:t>presence</w:t>
      </w:r>
      <w:r w:rsidR="0039638B" w:rsidRPr="00E175CC">
        <w:rPr>
          <w:rFonts w:asciiTheme="majorBidi" w:hAnsiTheme="majorBidi" w:cstheme="majorBidi"/>
          <w:sz w:val="24"/>
          <w:szCs w:val="24"/>
        </w:rPr>
        <w:t xml:space="preserve"> </w:t>
      </w:r>
      <w:r w:rsidR="00B52CB6">
        <w:rPr>
          <w:rFonts w:asciiTheme="majorBidi" w:hAnsiTheme="majorBidi" w:cstheme="majorBidi"/>
          <w:sz w:val="24"/>
          <w:szCs w:val="24"/>
        </w:rPr>
        <w:t>in</w:t>
      </w:r>
      <w:r w:rsidR="0039638B" w:rsidRPr="00E175CC">
        <w:rPr>
          <w:rFonts w:asciiTheme="majorBidi" w:hAnsiTheme="majorBidi" w:cstheme="majorBidi"/>
          <w:sz w:val="24"/>
          <w:szCs w:val="24"/>
        </w:rPr>
        <w:t xml:space="preserve"> the Hun Khaganate and the </w:t>
      </w:r>
      <w:r w:rsidR="00942103" w:rsidRPr="00E175CC">
        <w:rPr>
          <w:rFonts w:asciiTheme="majorBidi" w:hAnsiTheme="majorBidi" w:cstheme="majorBidi"/>
          <w:sz w:val="24"/>
          <w:szCs w:val="24"/>
        </w:rPr>
        <w:t>Byzantine</w:t>
      </w:r>
      <w:r w:rsidR="0039638B" w:rsidRPr="00E175CC">
        <w:rPr>
          <w:rFonts w:asciiTheme="majorBidi" w:hAnsiTheme="majorBidi" w:cstheme="majorBidi"/>
          <w:sz w:val="24"/>
          <w:szCs w:val="24"/>
        </w:rPr>
        <w:t xml:space="preserve"> Empire.</w:t>
      </w:r>
      <w:r w:rsidR="00A63B7E" w:rsidRPr="00E175CC">
        <w:rPr>
          <w:rFonts w:asciiTheme="majorBidi" w:hAnsiTheme="majorBidi" w:cstheme="majorBidi"/>
          <w:sz w:val="24"/>
          <w:szCs w:val="24"/>
        </w:rPr>
        <w:t xml:space="preserve"> Through the case</w:t>
      </w:r>
      <w:r w:rsidR="000272DA" w:rsidRPr="00E175CC">
        <w:rPr>
          <w:rFonts w:asciiTheme="majorBidi" w:hAnsiTheme="majorBidi" w:cstheme="majorBidi"/>
          <w:sz w:val="24"/>
          <w:szCs w:val="24"/>
        </w:rPr>
        <w:t>-</w:t>
      </w:r>
      <w:r w:rsidR="00A63B7E" w:rsidRPr="00E175CC">
        <w:rPr>
          <w:rFonts w:asciiTheme="majorBidi" w:hAnsiTheme="majorBidi" w:cstheme="majorBidi"/>
          <w:sz w:val="24"/>
          <w:szCs w:val="24"/>
        </w:rPr>
        <w:t xml:space="preserve">study of Movsēs Dasxurancʻi’s writing </w:t>
      </w:r>
      <w:r w:rsidR="00A2587B" w:rsidRPr="00E175CC">
        <w:rPr>
          <w:rFonts w:asciiTheme="majorBidi" w:hAnsiTheme="majorBidi" w:cstheme="majorBidi"/>
          <w:sz w:val="24"/>
          <w:szCs w:val="24"/>
        </w:rPr>
        <w:t>(10th</w:t>
      </w:r>
      <w:r w:rsidR="00FE41ED" w:rsidRPr="00E175CC">
        <w:rPr>
          <w:rFonts w:asciiTheme="majorBidi" w:hAnsiTheme="majorBidi" w:cstheme="majorBidi"/>
          <w:sz w:val="24"/>
          <w:szCs w:val="24"/>
        </w:rPr>
        <w:t xml:space="preserve"> c.</w:t>
      </w:r>
      <w:r w:rsidR="00A2587B" w:rsidRPr="00E175CC">
        <w:rPr>
          <w:rFonts w:asciiTheme="majorBidi" w:hAnsiTheme="majorBidi" w:cstheme="majorBidi"/>
          <w:sz w:val="24"/>
          <w:szCs w:val="24"/>
        </w:rPr>
        <w:t>)</w:t>
      </w:r>
      <w:r w:rsidR="00FE41ED" w:rsidRPr="00E175CC">
        <w:rPr>
          <w:rFonts w:asciiTheme="majorBidi" w:hAnsiTheme="majorBidi" w:cstheme="majorBidi"/>
          <w:sz w:val="24"/>
          <w:szCs w:val="24"/>
        </w:rPr>
        <w:t xml:space="preserve">, </w:t>
      </w:r>
      <w:r w:rsidR="00DB6AE8" w:rsidRPr="00E175CC">
        <w:rPr>
          <w:rFonts w:asciiTheme="majorBidi" w:hAnsiTheme="majorBidi" w:cstheme="majorBidi"/>
          <w:sz w:val="24"/>
          <w:szCs w:val="24"/>
        </w:rPr>
        <w:t xml:space="preserve">the paper </w:t>
      </w:r>
      <w:r w:rsidR="006C428C" w:rsidRPr="00E175CC">
        <w:rPr>
          <w:rFonts w:asciiTheme="majorBidi" w:hAnsiTheme="majorBidi" w:cstheme="majorBidi"/>
          <w:sz w:val="24"/>
          <w:szCs w:val="24"/>
        </w:rPr>
        <w:t xml:space="preserve">suggests that </w:t>
      </w:r>
      <w:r w:rsidR="00DB6AE8" w:rsidRPr="00E175CC">
        <w:rPr>
          <w:rFonts w:asciiTheme="majorBidi" w:hAnsiTheme="majorBidi" w:cstheme="majorBidi"/>
          <w:sz w:val="24"/>
          <w:szCs w:val="24"/>
        </w:rPr>
        <w:t>bishops d</w:t>
      </w:r>
      <w:r w:rsidR="00F341B5" w:rsidRPr="00E175CC">
        <w:rPr>
          <w:rFonts w:asciiTheme="majorBidi" w:hAnsiTheme="majorBidi" w:cstheme="majorBidi"/>
          <w:sz w:val="24"/>
          <w:szCs w:val="24"/>
        </w:rPr>
        <w:t>id</w:t>
      </w:r>
      <w:r w:rsidR="00DB6AE8" w:rsidRPr="00E175CC">
        <w:rPr>
          <w:rFonts w:asciiTheme="majorBidi" w:hAnsiTheme="majorBidi" w:cstheme="majorBidi"/>
          <w:sz w:val="24"/>
          <w:szCs w:val="24"/>
        </w:rPr>
        <w:t xml:space="preserve"> not merely work across the Armenian-Albanian divide: they help</w:t>
      </w:r>
      <w:r w:rsidR="007459F0">
        <w:rPr>
          <w:rFonts w:asciiTheme="majorBidi" w:hAnsiTheme="majorBidi" w:cstheme="majorBidi"/>
          <w:sz w:val="24"/>
          <w:szCs w:val="24"/>
        </w:rPr>
        <w:t>ed to</w:t>
      </w:r>
      <w:r w:rsidR="00DB6AE8" w:rsidRPr="00E175CC">
        <w:rPr>
          <w:rFonts w:asciiTheme="majorBidi" w:hAnsiTheme="majorBidi" w:cstheme="majorBidi"/>
          <w:sz w:val="24"/>
          <w:szCs w:val="24"/>
        </w:rPr>
        <w:t xml:space="preserve"> construct it as they </w:t>
      </w:r>
      <w:r w:rsidR="00B52CB6">
        <w:rPr>
          <w:rFonts w:asciiTheme="majorBidi" w:hAnsiTheme="majorBidi" w:cstheme="majorBidi"/>
          <w:sz w:val="24"/>
          <w:szCs w:val="24"/>
        </w:rPr>
        <w:t>went</w:t>
      </w:r>
      <w:r w:rsidR="00DB6AE8" w:rsidRPr="00E175CC">
        <w:rPr>
          <w:rFonts w:asciiTheme="majorBidi" w:hAnsiTheme="majorBidi" w:cstheme="majorBidi"/>
          <w:sz w:val="24"/>
          <w:szCs w:val="24"/>
        </w:rPr>
        <w:t>.</w:t>
      </w:r>
    </w:p>
    <w:p w14:paraId="4871EB6E" w14:textId="77777777" w:rsidR="006751A1" w:rsidRDefault="006751A1" w:rsidP="00EF761F">
      <w:pPr>
        <w:spacing w:line="360" w:lineRule="auto"/>
        <w:jc w:val="both"/>
        <w:rPr>
          <w:rFonts w:asciiTheme="majorBidi" w:hAnsiTheme="majorBidi" w:cstheme="majorBidi"/>
          <w:sz w:val="24"/>
          <w:szCs w:val="24"/>
        </w:rPr>
      </w:pPr>
    </w:p>
    <w:p w14:paraId="7DB8B912" w14:textId="77777777" w:rsidR="001C2680" w:rsidRPr="00E175CC" w:rsidRDefault="001C2680" w:rsidP="00EF761F">
      <w:pPr>
        <w:spacing w:line="360" w:lineRule="auto"/>
        <w:jc w:val="both"/>
        <w:rPr>
          <w:rFonts w:asciiTheme="majorBidi" w:hAnsiTheme="majorBidi" w:cstheme="majorBidi"/>
          <w:sz w:val="24"/>
          <w:szCs w:val="24"/>
        </w:rPr>
      </w:pPr>
    </w:p>
    <w:p w14:paraId="236CEB19" w14:textId="68AE5837" w:rsidR="006751A1" w:rsidRPr="00E175CC" w:rsidRDefault="006751A1" w:rsidP="00EF761F">
      <w:pPr>
        <w:spacing w:line="360" w:lineRule="auto"/>
        <w:jc w:val="both"/>
        <w:rPr>
          <w:rFonts w:asciiTheme="majorBidi" w:hAnsiTheme="majorBidi" w:cstheme="majorBidi"/>
          <w:b/>
          <w:bCs/>
          <w:sz w:val="24"/>
          <w:szCs w:val="24"/>
        </w:rPr>
      </w:pPr>
      <w:r w:rsidRPr="00E175CC">
        <w:rPr>
          <w:rFonts w:asciiTheme="majorBidi" w:hAnsiTheme="majorBidi" w:cstheme="majorBidi"/>
          <w:b/>
          <w:bCs/>
          <w:sz w:val="24"/>
          <w:szCs w:val="24"/>
        </w:rPr>
        <w:lastRenderedPageBreak/>
        <w:t>Keywords</w:t>
      </w:r>
    </w:p>
    <w:p w14:paraId="28450179" w14:textId="070B9FB5" w:rsidR="006751A1" w:rsidRPr="00E175CC" w:rsidRDefault="004F5E3D" w:rsidP="00EF761F">
      <w:pPr>
        <w:spacing w:line="360" w:lineRule="auto"/>
        <w:jc w:val="both"/>
        <w:rPr>
          <w:rFonts w:asciiTheme="majorBidi" w:hAnsiTheme="majorBidi" w:cstheme="majorBidi"/>
          <w:sz w:val="24"/>
          <w:szCs w:val="24"/>
        </w:rPr>
      </w:pPr>
      <w:r w:rsidRPr="00E175CC">
        <w:rPr>
          <w:rFonts w:asciiTheme="majorBidi" w:hAnsiTheme="majorBidi" w:cstheme="majorBidi"/>
          <w:sz w:val="24"/>
          <w:szCs w:val="24"/>
        </w:rPr>
        <w:t xml:space="preserve">Political authority, </w:t>
      </w:r>
      <w:r w:rsidR="005A47DE" w:rsidRPr="00E175CC">
        <w:rPr>
          <w:rFonts w:asciiTheme="majorBidi" w:hAnsiTheme="majorBidi" w:cstheme="majorBidi"/>
          <w:sz w:val="24"/>
          <w:szCs w:val="24"/>
        </w:rPr>
        <w:t>aristocracy, ecclesiastical elites, elect-based communities</w:t>
      </w:r>
      <w:r w:rsidR="005E3824">
        <w:rPr>
          <w:rFonts w:asciiTheme="majorBidi" w:hAnsiTheme="majorBidi" w:cstheme="majorBidi"/>
          <w:sz w:val="24"/>
          <w:szCs w:val="24"/>
        </w:rPr>
        <w:t xml:space="preserve">, </w:t>
      </w:r>
      <w:r w:rsidR="00777632">
        <w:rPr>
          <w:rFonts w:asciiTheme="majorBidi" w:hAnsiTheme="majorBidi" w:cstheme="majorBidi"/>
          <w:sz w:val="24"/>
          <w:szCs w:val="24"/>
        </w:rPr>
        <w:t>governance</w:t>
      </w:r>
      <w:r w:rsidR="00C8118E" w:rsidRPr="00E175CC">
        <w:rPr>
          <w:rFonts w:asciiTheme="majorBidi" w:hAnsiTheme="majorBidi" w:cstheme="majorBidi"/>
          <w:sz w:val="24"/>
          <w:szCs w:val="24"/>
        </w:rPr>
        <w:t xml:space="preserve"> </w:t>
      </w:r>
    </w:p>
    <w:p w14:paraId="5B26B7F9" w14:textId="02D024C9" w:rsidR="006751A1" w:rsidRPr="00E175CC" w:rsidRDefault="00A37D78" w:rsidP="00EF761F">
      <w:pPr>
        <w:spacing w:line="360" w:lineRule="auto"/>
        <w:jc w:val="both"/>
        <w:rPr>
          <w:rFonts w:asciiTheme="majorBidi" w:hAnsiTheme="majorBidi" w:cstheme="majorBidi"/>
          <w:b/>
          <w:bCs/>
          <w:sz w:val="24"/>
          <w:szCs w:val="24"/>
        </w:rPr>
      </w:pPr>
      <w:r w:rsidRPr="00E175CC">
        <w:rPr>
          <w:rFonts w:asciiTheme="majorBidi" w:hAnsiTheme="majorBidi" w:cstheme="majorBidi"/>
          <w:b/>
          <w:bCs/>
          <w:sz w:val="24"/>
          <w:szCs w:val="24"/>
        </w:rPr>
        <w:t xml:space="preserve">Speakers </w:t>
      </w:r>
    </w:p>
    <w:p w14:paraId="1795DF15" w14:textId="34C40A02" w:rsidR="00E41028" w:rsidRPr="00E175CC" w:rsidRDefault="004F5E3D" w:rsidP="00EF761F">
      <w:pPr>
        <w:spacing w:line="360" w:lineRule="auto"/>
        <w:ind w:left="720" w:hanging="720"/>
        <w:jc w:val="both"/>
        <w:rPr>
          <w:rFonts w:asciiTheme="majorBidi" w:hAnsiTheme="majorBidi" w:cstheme="majorBidi"/>
          <w:sz w:val="24"/>
          <w:szCs w:val="24"/>
        </w:rPr>
      </w:pPr>
      <w:r w:rsidRPr="00E175CC">
        <w:rPr>
          <w:rFonts w:asciiTheme="majorBidi" w:hAnsiTheme="majorBidi" w:cstheme="majorBidi"/>
          <w:sz w:val="24"/>
          <w:szCs w:val="24"/>
        </w:rPr>
        <w:t xml:space="preserve">Håkon </w:t>
      </w:r>
      <w:r w:rsidR="00C8118E" w:rsidRPr="00E175CC">
        <w:rPr>
          <w:rFonts w:asciiTheme="majorBidi" w:hAnsiTheme="majorBidi" w:cstheme="majorBidi"/>
          <w:sz w:val="24"/>
          <w:szCs w:val="24"/>
        </w:rPr>
        <w:t xml:space="preserve">Fiane </w:t>
      </w:r>
      <w:r w:rsidRPr="00E175CC">
        <w:rPr>
          <w:rFonts w:asciiTheme="majorBidi" w:hAnsiTheme="majorBidi" w:cstheme="majorBidi"/>
          <w:sz w:val="24"/>
          <w:szCs w:val="24"/>
        </w:rPr>
        <w:t>Teigen (</w:t>
      </w:r>
      <w:r w:rsidR="00C8118E" w:rsidRPr="00E175CC">
        <w:rPr>
          <w:rFonts w:asciiTheme="majorBidi" w:hAnsiTheme="majorBidi" w:cstheme="majorBidi"/>
          <w:sz w:val="24"/>
          <w:szCs w:val="24"/>
        </w:rPr>
        <w:t>Independent Scholar</w:t>
      </w:r>
      <w:r w:rsidRPr="00E175CC">
        <w:rPr>
          <w:rFonts w:asciiTheme="majorBidi" w:hAnsiTheme="majorBidi" w:cstheme="majorBidi"/>
          <w:sz w:val="24"/>
          <w:szCs w:val="24"/>
        </w:rPr>
        <w:t>)</w:t>
      </w:r>
      <w:r w:rsidR="00B73E8C" w:rsidRPr="00E175CC">
        <w:rPr>
          <w:rFonts w:asciiTheme="majorBidi" w:hAnsiTheme="majorBidi" w:cstheme="majorBidi"/>
          <w:sz w:val="24"/>
          <w:szCs w:val="24"/>
        </w:rPr>
        <w:t>: “Rulers in the World: Metaphors of Authority and Social Organisation in the Coptic</w:t>
      </w:r>
      <w:r w:rsidR="00B73E8C" w:rsidRPr="00E175CC">
        <w:rPr>
          <w:rFonts w:asciiTheme="majorBidi" w:hAnsiTheme="majorBidi" w:cstheme="majorBidi"/>
          <w:i/>
          <w:iCs/>
          <w:sz w:val="24"/>
          <w:szCs w:val="24"/>
        </w:rPr>
        <w:t xml:space="preserve"> Manichaica</w:t>
      </w:r>
      <w:r w:rsidR="00B73E8C" w:rsidRPr="00E175CC">
        <w:rPr>
          <w:rFonts w:asciiTheme="majorBidi" w:hAnsiTheme="majorBidi" w:cstheme="majorBidi"/>
          <w:sz w:val="24"/>
          <w:szCs w:val="24"/>
        </w:rPr>
        <w:t>”</w:t>
      </w:r>
    </w:p>
    <w:p w14:paraId="2310B172" w14:textId="089A0371" w:rsidR="00A37D78" w:rsidRPr="00E175CC" w:rsidRDefault="00B73E8C" w:rsidP="00EF761F">
      <w:pPr>
        <w:spacing w:line="360" w:lineRule="auto"/>
        <w:ind w:left="720" w:hanging="720"/>
        <w:jc w:val="both"/>
        <w:rPr>
          <w:rFonts w:asciiTheme="majorBidi" w:hAnsiTheme="majorBidi" w:cstheme="majorBidi"/>
          <w:sz w:val="24"/>
          <w:szCs w:val="24"/>
          <w:lang w:val="en-GB"/>
        </w:rPr>
      </w:pPr>
      <w:r w:rsidRPr="00E175CC">
        <w:rPr>
          <w:rFonts w:asciiTheme="majorBidi" w:hAnsiTheme="majorBidi" w:cstheme="majorBidi"/>
          <w:sz w:val="24"/>
          <w:szCs w:val="24"/>
        </w:rPr>
        <w:t>Anna Giaconia (Ghent University):</w:t>
      </w:r>
      <w:r w:rsidR="00A37D78" w:rsidRPr="00E175CC">
        <w:rPr>
          <w:rFonts w:asciiTheme="majorBidi" w:hAnsiTheme="majorBidi" w:cstheme="majorBidi"/>
          <w:sz w:val="24"/>
          <w:szCs w:val="24"/>
        </w:rPr>
        <w:t xml:space="preserve"> “</w:t>
      </w:r>
      <w:r w:rsidR="00A37D78" w:rsidRPr="00E175CC">
        <w:rPr>
          <w:rFonts w:asciiTheme="majorBidi" w:hAnsiTheme="majorBidi" w:cstheme="majorBidi"/>
          <w:sz w:val="24"/>
          <w:szCs w:val="24"/>
          <w:lang w:val="en-GB"/>
        </w:rPr>
        <w:t>Regulating Sexuality: An Ecclesiastical Tool for Controlling the Christian Community in the Sasanian and Early Islamic Empires”</w:t>
      </w:r>
    </w:p>
    <w:p w14:paraId="12419725" w14:textId="6BC52DB7" w:rsidR="00A37D78" w:rsidRPr="00E175CC" w:rsidRDefault="00A37D78" w:rsidP="00EF761F">
      <w:pPr>
        <w:spacing w:line="360" w:lineRule="auto"/>
        <w:ind w:left="720" w:hanging="720"/>
        <w:jc w:val="both"/>
        <w:rPr>
          <w:rFonts w:asciiTheme="majorBidi" w:hAnsiTheme="majorBidi" w:cstheme="majorBidi"/>
          <w:sz w:val="24"/>
          <w:szCs w:val="24"/>
          <w:lang w:val="de-DE"/>
        </w:rPr>
      </w:pPr>
      <w:r w:rsidRPr="00E175CC">
        <w:rPr>
          <w:rFonts w:asciiTheme="majorBidi" w:hAnsiTheme="majorBidi" w:cstheme="majorBidi"/>
          <w:sz w:val="24"/>
          <w:szCs w:val="24"/>
          <w:lang w:val="de-DE"/>
        </w:rPr>
        <w:t>Thomas Girault (</w:t>
      </w:r>
      <w:proofErr w:type="spellStart"/>
      <w:r w:rsidRPr="00E175CC">
        <w:rPr>
          <w:rFonts w:asciiTheme="majorBidi" w:hAnsiTheme="majorBidi" w:cstheme="majorBidi"/>
          <w:sz w:val="24"/>
          <w:szCs w:val="24"/>
          <w:lang w:val="de-DE"/>
        </w:rPr>
        <w:t>Ghent</w:t>
      </w:r>
      <w:proofErr w:type="spellEnd"/>
      <w:r w:rsidRPr="00E175CC">
        <w:rPr>
          <w:rFonts w:asciiTheme="majorBidi" w:hAnsiTheme="majorBidi" w:cstheme="majorBidi"/>
          <w:sz w:val="24"/>
          <w:szCs w:val="24"/>
          <w:lang w:val="de-DE"/>
        </w:rPr>
        <w:t xml:space="preserve"> University): “</w:t>
      </w:r>
      <w:r w:rsidR="00EA43FA" w:rsidRPr="00E175CC">
        <w:rPr>
          <w:rFonts w:asciiTheme="majorBidi" w:hAnsiTheme="majorBidi" w:cstheme="majorBidi"/>
          <w:sz w:val="24"/>
          <w:szCs w:val="24"/>
          <w:lang w:val="de-DE"/>
        </w:rPr>
        <w:t xml:space="preserve">Ein Königreich ohne König ? </w:t>
      </w:r>
      <w:proofErr w:type="spellStart"/>
      <w:r w:rsidR="00EA43FA" w:rsidRPr="00E175CC">
        <w:rPr>
          <w:rFonts w:asciiTheme="majorBidi" w:hAnsiTheme="majorBidi" w:cstheme="majorBidi"/>
          <w:sz w:val="24"/>
          <w:szCs w:val="24"/>
          <w:lang w:val="de-DE"/>
        </w:rPr>
        <w:t>Persarmenien</w:t>
      </w:r>
      <w:proofErr w:type="spellEnd"/>
      <w:r w:rsidR="00EA43FA" w:rsidRPr="00E175CC">
        <w:rPr>
          <w:rFonts w:asciiTheme="majorBidi" w:hAnsiTheme="majorBidi" w:cstheme="majorBidi"/>
          <w:sz w:val="24"/>
          <w:szCs w:val="24"/>
          <w:lang w:val="de-DE"/>
        </w:rPr>
        <w:t xml:space="preserve"> und das </w:t>
      </w:r>
      <w:proofErr w:type="spellStart"/>
      <w:r w:rsidR="00EA43FA" w:rsidRPr="00E175CC">
        <w:rPr>
          <w:rFonts w:asciiTheme="majorBidi" w:hAnsiTheme="majorBidi" w:cstheme="majorBidi"/>
          <w:sz w:val="24"/>
          <w:szCs w:val="24"/>
          <w:lang w:val="de-DE"/>
        </w:rPr>
        <w:t>nakharar</w:t>
      </w:r>
      <w:proofErr w:type="spellEnd"/>
      <w:r w:rsidR="00EA43FA" w:rsidRPr="00E175CC">
        <w:rPr>
          <w:rFonts w:asciiTheme="majorBidi" w:hAnsiTheme="majorBidi" w:cstheme="majorBidi"/>
          <w:sz w:val="24"/>
          <w:szCs w:val="24"/>
          <w:lang w:val="de-DE"/>
        </w:rPr>
        <w:t>-system unter den Sassaniden“</w:t>
      </w:r>
    </w:p>
    <w:p w14:paraId="39247C23" w14:textId="04892B2D" w:rsidR="00EA43FA" w:rsidRPr="00E175CC" w:rsidRDefault="00EA43FA" w:rsidP="00EF761F">
      <w:pPr>
        <w:spacing w:line="360" w:lineRule="auto"/>
        <w:ind w:left="720" w:hanging="720"/>
        <w:jc w:val="both"/>
        <w:rPr>
          <w:rFonts w:asciiTheme="majorBidi" w:hAnsiTheme="majorBidi" w:cstheme="majorBidi"/>
          <w:sz w:val="24"/>
          <w:szCs w:val="24"/>
          <w:lang w:val="en-US"/>
        </w:rPr>
      </w:pPr>
      <w:r w:rsidRPr="00E175CC">
        <w:rPr>
          <w:rFonts w:asciiTheme="majorBidi" w:hAnsiTheme="majorBidi" w:cstheme="majorBidi"/>
          <w:sz w:val="24"/>
          <w:szCs w:val="24"/>
          <w:lang w:val="en-US"/>
        </w:rPr>
        <w:t>Alison Vacca (</w:t>
      </w:r>
      <w:r w:rsidR="00E175CC" w:rsidRPr="00E175CC">
        <w:rPr>
          <w:rFonts w:asciiTheme="majorBidi" w:hAnsiTheme="majorBidi" w:cstheme="majorBidi"/>
          <w:sz w:val="24"/>
          <w:szCs w:val="24"/>
          <w:lang w:val="en-US"/>
        </w:rPr>
        <w:t>Columbia University</w:t>
      </w:r>
      <w:r w:rsidRPr="00E175CC">
        <w:rPr>
          <w:rFonts w:asciiTheme="majorBidi" w:hAnsiTheme="majorBidi" w:cstheme="majorBidi"/>
          <w:sz w:val="24"/>
          <w:szCs w:val="24"/>
          <w:lang w:val="en-US"/>
        </w:rPr>
        <w:t>)</w:t>
      </w:r>
      <w:r w:rsidR="00E175CC" w:rsidRPr="00E175CC">
        <w:rPr>
          <w:rFonts w:asciiTheme="majorBidi" w:hAnsiTheme="majorBidi" w:cstheme="majorBidi"/>
          <w:sz w:val="24"/>
          <w:szCs w:val="24"/>
          <w:lang w:val="en-US"/>
        </w:rPr>
        <w:t xml:space="preserve">: “Bishops of the House of </w:t>
      </w:r>
      <w:proofErr w:type="spellStart"/>
      <w:r w:rsidR="00E175CC" w:rsidRPr="00E175CC">
        <w:rPr>
          <w:rFonts w:asciiTheme="majorBidi" w:hAnsiTheme="majorBidi" w:cstheme="majorBidi"/>
          <w:sz w:val="24"/>
          <w:szCs w:val="24"/>
          <w:lang w:val="en-US"/>
        </w:rPr>
        <w:t>Tʻorgom</w:t>
      </w:r>
      <w:proofErr w:type="spellEnd"/>
      <w:r w:rsidR="00E175CC" w:rsidRPr="00E175CC">
        <w:rPr>
          <w:rFonts w:asciiTheme="majorBidi" w:hAnsiTheme="majorBidi" w:cstheme="majorBidi"/>
          <w:sz w:val="24"/>
          <w:szCs w:val="24"/>
          <w:lang w:val="en-US"/>
        </w:rPr>
        <w:t xml:space="preserve"> in the Time between Kings”</w:t>
      </w:r>
    </w:p>
    <w:p w14:paraId="5016D484" w14:textId="5274227A" w:rsidR="00B73E8C" w:rsidRPr="00E175CC" w:rsidRDefault="00B73E8C" w:rsidP="00EF761F">
      <w:pPr>
        <w:spacing w:line="360" w:lineRule="auto"/>
        <w:jc w:val="both"/>
        <w:rPr>
          <w:lang w:val="en-US"/>
        </w:rPr>
      </w:pPr>
    </w:p>
    <w:p w14:paraId="02317079" w14:textId="77777777" w:rsidR="00B73E8C" w:rsidRPr="004F5E3D" w:rsidRDefault="00B73E8C" w:rsidP="00EF761F">
      <w:pPr>
        <w:spacing w:line="360" w:lineRule="auto"/>
        <w:jc w:val="both"/>
        <w:rPr>
          <w:b/>
          <w:bCs/>
        </w:rPr>
      </w:pPr>
    </w:p>
    <w:p w14:paraId="5623E04C" w14:textId="77777777" w:rsidR="00E41028" w:rsidRDefault="00E41028" w:rsidP="00EF761F">
      <w:pPr>
        <w:spacing w:line="360" w:lineRule="auto"/>
        <w:jc w:val="both"/>
      </w:pPr>
    </w:p>
    <w:p w14:paraId="713AE3BF" w14:textId="77777777" w:rsidR="00525501" w:rsidRDefault="00525501" w:rsidP="00EF761F">
      <w:pPr>
        <w:spacing w:line="360" w:lineRule="auto"/>
        <w:jc w:val="both"/>
      </w:pPr>
    </w:p>
    <w:sectPr w:rsidR="0052550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BE5A4A"/>
    <w:multiLevelType w:val="multilevel"/>
    <w:tmpl w:val="45B466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8554627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501"/>
    <w:rsid w:val="000272DA"/>
    <w:rsid w:val="000427B1"/>
    <w:rsid w:val="00057B9C"/>
    <w:rsid w:val="00093896"/>
    <w:rsid w:val="000A5E03"/>
    <w:rsid w:val="000C0AAE"/>
    <w:rsid w:val="000C62C2"/>
    <w:rsid w:val="000F400E"/>
    <w:rsid w:val="00100F8F"/>
    <w:rsid w:val="00111C82"/>
    <w:rsid w:val="001B506B"/>
    <w:rsid w:val="001C2680"/>
    <w:rsid w:val="003237AB"/>
    <w:rsid w:val="0039638B"/>
    <w:rsid w:val="003E20E6"/>
    <w:rsid w:val="004139BC"/>
    <w:rsid w:val="00485E60"/>
    <w:rsid w:val="00495942"/>
    <w:rsid w:val="004A4380"/>
    <w:rsid w:val="004B35B6"/>
    <w:rsid w:val="004B69DE"/>
    <w:rsid w:val="004C2080"/>
    <w:rsid w:val="004F5E3D"/>
    <w:rsid w:val="005239C7"/>
    <w:rsid w:val="00525501"/>
    <w:rsid w:val="00566FE9"/>
    <w:rsid w:val="005A47DE"/>
    <w:rsid w:val="005D32BB"/>
    <w:rsid w:val="005E3824"/>
    <w:rsid w:val="0060068C"/>
    <w:rsid w:val="00610446"/>
    <w:rsid w:val="00637CC5"/>
    <w:rsid w:val="00643FBB"/>
    <w:rsid w:val="006751A1"/>
    <w:rsid w:val="006A474F"/>
    <w:rsid w:val="006C428C"/>
    <w:rsid w:val="006E240D"/>
    <w:rsid w:val="006E293F"/>
    <w:rsid w:val="006F4EF7"/>
    <w:rsid w:val="007008A9"/>
    <w:rsid w:val="007168A3"/>
    <w:rsid w:val="007459F0"/>
    <w:rsid w:val="00773F27"/>
    <w:rsid w:val="00777632"/>
    <w:rsid w:val="007B4B29"/>
    <w:rsid w:val="007B6ACD"/>
    <w:rsid w:val="007F2DC6"/>
    <w:rsid w:val="007F41DE"/>
    <w:rsid w:val="00837B93"/>
    <w:rsid w:val="00865F89"/>
    <w:rsid w:val="0089004A"/>
    <w:rsid w:val="008B0731"/>
    <w:rsid w:val="008D4B71"/>
    <w:rsid w:val="0090419A"/>
    <w:rsid w:val="00907B26"/>
    <w:rsid w:val="00914540"/>
    <w:rsid w:val="0093739A"/>
    <w:rsid w:val="00942103"/>
    <w:rsid w:val="00974B10"/>
    <w:rsid w:val="00984133"/>
    <w:rsid w:val="00992BCC"/>
    <w:rsid w:val="00A2587B"/>
    <w:rsid w:val="00A37D78"/>
    <w:rsid w:val="00A6197F"/>
    <w:rsid w:val="00A63B7E"/>
    <w:rsid w:val="00A709CF"/>
    <w:rsid w:val="00A71F5D"/>
    <w:rsid w:val="00A92193"/>
    <w:rsid w:val="00B01D08"/>
    <w:rsid w:val="00B52CB6"/>
    <w:rsid w:val="00B73E8C"/>
    <w:rsid w:val="00B925C5"/>
    <w:rsid w:val="00BC57DA"/>
    <w:rsid w:val="00BD5720"/>
    <w:rsid w:val="00BF5056"/>
    <w:rsid w:val="00C73E5B"/>
    <w:rsid w:val="00C8118E"/>
    <w:rsid w:val="00CF02F5"/>
    <w:rsid w:val="00D029DE"/>
    <w:rsid w:val="00D52046"/>
    <w:rsid w:val="00DB6AE8"/>
    <w:rsid w:val="00DF50DC"/>
    <w:rsid w:val="00E04D1A"/>
    <w:rsid w:val="00E175CC"/>
    <w:rsid w:val="00E30579"/>
    <w:rsid w:val="00E35A32"/>
    <w:rsid w:val="00E41028"/>
    <w:rsid w:val="00E50A8A"/>
    <w:rsid w:val="00EA43FA"/>
    <w:rsid w:val="00EC53D1"/>
    <w:rsid w:val="00EE48BC"/>
    <w:rsid w:val="00EF761F"/>
    <w:rsid w:val="00EF7C39"/>
    <w:rsid w:val="00F341B5"/>
    <w:rsid w:val="00F71594"/>
    <w:rsid w:val="00F76174"/>
    <w:rsid w:val="00F8278E"/>
    <w:rsid w:val="00FC080B"/>
    <w:rsid w:val="00FE41ED"/>
  </w:rsids>
  <m:mathPr>
    <m:mathFont m:val="Cambria Math"/>
    <m:brkBin m:val="before"/>
    <m:brkBinSub m:val="--"/>
    <m:smallFrac m:val="0"/>
    <m:dispDef/>
    <m:lMargin m:val="0"/>
    <m:rMargin m:val="0"/>
    <m:defJc m:val="centerGroup"/>
    <m:wrapIndent m:val="1440"/>
    <m:intLim m:val="subSup"/>
    <m:naryLim m:val="undOvr"/>
  </m:mathPr>
  <w:themeFontLang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48C7A5"/>
  <w15:chartTrackingRefBased/>
  <w15:docId w15:val="{CADDCD63-0DBE-4AED-80BE-16D498BDD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550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2550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2550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2550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2550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255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55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55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55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550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2550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2550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2550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2550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255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55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55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5501"/>
    <w:rPr>
      <w:rFonts w:eastAsiaTheme="majorEastAsia" w:cstheme="majorBidi"/>
      <w:color w:val="272727" w:themeColor="text1" w:themeTint="D8"/>
    </w:rPr>
  </w:style>
  <w:style w:type="paragraph" w:styleId="Title">
    <w:name w:val="Title"/>
    <w:basedOn w:val="Normal"/>
    <w:next w:val="Normal"/>
    <w:link w:val="TitleChar"/>
    <w:uiPriority w:val="10"/>
    <w:qFormat/>
    <w:rsid w:val="005255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55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55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55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5501"/>
    <w:pPr>
      <w:spacing w:before="160"/>
      <w:jc w:val="center"/>
    </w:pPr>
    <w:rPr>
      <w:i/>
      <w:iCs/>
      <w:color w:val="404040" w:themeColor="text1" w:themeTint="BF"/>
    </w:rPr>
  </w:style>
  <w:style w:type="character" w:customStyle="1" w:styleId="QuoteChar">
    <w:name w:val="Quote Char"/>
    <w:basedOn w:val="DefaultParagraphFont"/>
    <w:link w:val="Quote"/>
    <w:uiPriority w:val="29"/>
    <w:rsid w:val="00525501"/>
    <w:rPr>
      <w:i/>
      <w:iCs/>
      <w:color w:val="404040" w:themeColor="text1" w:themeTint="BF"/>
    </w:rPr>
  </w:style>
  <w:style w:type="paragraph" w:styleId="ListParagraph">
    <w:name w:val="List Paragraph"/>
    <w:basedOn w:val="Normal"/>
    <w:uiPriority w:val="34"/>
    <w:qFormat/>
    <w:rsid w:val="00525501"/>
    <w:pPr>
      <w:ind w:left="720"/>
      <w:contextualSpacing/>
    </w:pPr>
  </w:style>
  <w:style w:type="character" w:styleId="IntenseEmphasis">
    <w:name w:val="Intense Emphasis"/>
    <w:basedOn w:val="DefaultParagraphFont"/>
    <w:uiPriority w:val="21"/>
    <w:qFormat/>
    <w:rsid w:val="00525501"/>
    <w:rPr>
      <w:i/>
      <w:iCs/>
      <w:color w:val="2F5496" w:themeColor="accent1" w:themeShade="BF"/>
    </w:rPr>
  </w:style>
  <w:style w:type="paragraph" w:styleId="IntenseQuote">
    <w:name w:val="Intense Quote"/>
    <w:basedOn w:val="Normal"/>
    <w:next w:val="Normal"/>
    <w:link w:val="IntenseQuoteChar"/>
    <w:uiPriority w:val="30"/>
    <w:qFormat/>
    <w:rsid w:val="005255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25501"/>
    <w:rPr>
      <w:i/>
      <w:iCs/>
      <w:color w:val="2F5496" w:themeColor="accent1" w:themeShade="BF"/>
    </w:rPr>
  </w:style>
  <w:style w:type="character" w:styleId="IntenseReference">
    <w:name w:val="Intense Reference"/>
    <w:basedOn w:val="DefaultParagraphFont"/>
    <w:uiPriority w:val="32"/>
    <w:qFormat/>
    <w:rsid w:val="0052550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66332">
      <w:bodyDiv w:val="1"/>
      <w:marLeft w:val="0"/>
      <w:marRight w:val="0"/>
      <w:marTop w:val="0"/>
      <w:marBottom w:val="0"/>
      <w:divBdr>
        <w:top w:val="none" w:sz="0" w:space="0" w:color="auto"/>
        <w:left w:val="none" w:sz="0" w:space="0" w:color="auto"/>
        <w:bottom w:val="none" w:sz="0" w:space="0" w:color="auto"/>
        <w:right w:val="none" w:sz="0" w:space="0" w:color="auto"/>
      </w:divBdr>
    </w:div>
    <w:div w:id="248126036">
      <w:bodyDiv w:val="1"/>
      <w:marLeft w:val="0"/>
      <w:marRight w:val="0"/>
      <w:marTop w:val="0"/>
      <w:marBottom w:val="0"/>
      <w:divBdr>
        <w:top w:val="none" w:sz="0" w:space="0" w:color="auto"/>
        <w:left w:val="none" w:sz="0" w:space="0" w:color="auto"/>
        <w:bottom w:val="none" w:sz="0" w:space="0" w:color="auto"/>
        <w:right w:val="none" w:sz="0" w:space="0" w:color="auto"/>
      </w:divBdr>
    </w:div>
    <w:div w:id="272055467">
      <w:bodyDiv w:val="1"/>
      <w:marLeft w:val="0"/>
      <w:marRight w:val="0"/>
      <w:marTop w:val="0"/>
      <w:marBottom w:val="0"/>
      <w:divBdr>
        <w:top w:val="none" w:sz="0" w:space="0" w:color="auto"/>
        <w:left w:val="none" w:sz="0" w:space="0" w:color="auto"/>
        <w:bottom w:val="none" w:sz="0" w:space="0" w:color="auto"/>
        <w:right w:val="none" w:sz="0" w:space="0" w:color="auto"/>
      </w:divBdr>
    </w:div>
    <w:div w:id="731588269">
      <w:bodyDiv w:val="1"/>
      <w:marLeft w:val="0"/>
      <w:marRight w:val="0"/>
      <w:marTop w:val="0"/>
      <w:marBottom w:val="0"/>
      <w:divBdr>
        <w:top w:val="none" w:sz="0" w:space="0" w:color="auto"/>
        <w:left w:val="none" w:sz="0" w:space="0" w:color="auto"/>
        <w:bottom w:val="none" w:sz="0" w:space="0" w:color="auto"/>
        <w:right w:val="none" w:sz="0" w:space="0" w:color="auto"/>
      </w:divBdr>
    </w:div>
    <w:div w:id="818115535">
      <w:bodyDiv w:val="1"/>
      <w:marLeft w:val="0"/>
      <w:marRight w:val="0"/>
      <w:marTop w:val="0"/>
      <w:marBottom w:val="0"/>
      <w:divBdr>
        <w:top w:val="none" w:sz="0" w:space="0" w:color="auto"/>
        <w:left w:val="none" w:sz="0" w:space="0" w:color="auto"/>
        <w:bottom w:val="none" w:sz="0" w:space="0" w:color="auto"/>
        <w:right w:val="none" w:sz="0" w:space="0" w:color="auto"/>
      </w:divBdr>
    </w:div>
    <w:div w:id="1295064297">
      <w:bodyDiv w:val="1"/>
      <w:marLeft w:val="0"/>
      <w:marRight w:val="0"/>
      <w:marTop w:val="0"/>
      <w:marBottom w:val="0"/>
      <w:divBdr>
        <w:top w:val="none" w:sz="0" w:space="0" w:color="auto"/>
        <w:left w:val="none" w:sz="0" w:space="0" w:color="auto"/>
        <w:bottom w:val="none" w:sz="0" w:space="0" w:color="auto"/>
        <w:right w:val="none" w:sz="0" w:space="0" w:color="auto"/>
      </w:divBdr>
    </w:div>
    <w:div w:id="1508015771">
      <w:bodyDiv w:val="1"/>
      <w:marLeft w:val="0"/>
      <w:marRight w:val="0"/>
      <w:marTop w:val="0"/>
      <w:marBottom w:val="0"/>
      <w:divBdr>
        <w:top w:val="none" w:sz="0" w:space="0" w:color="auto"/>
        <w:left w:val="none" w:sz="0" w:space="0" w:color="auto"/>
        <w:bottom w:val="none" w:sz="0" w:space="0" w:color="auto"/>
        <w:right w:val="none" w:sz="0" w:space="0" w:color="auto"/>
      </w:divBdr>
    </w:div>
    <w:div w:id="1649630640">
      <w:bodyDiv w:val="1"/>
      <w:marLeft w:val="0"/>
      <w:marRight w:val="0"/>
      <w:marTop w:val="0"/>
      <w:marBottom w:val="0"/>
      <w:divBdr>
        <w:top w:val="none" w:sz="0" w:space="0" w:color="auto"/>
        <w:left w:val="none" w:sz="0" w:space="0" w:color="auto"/>
        <w:bottom w:val="none" w:sz="0" w:space="0" w:color="auto"/>
        <w:right w:val="none" w:sz="0" w:space="0" w:color="auto"/>
      </w:divBdr>
    </w:div>
    <w:div w:id="1815219429">
      <w:bodyDiv w:val="1"/>
      <w:marLeft w:val="0"/>
      <w:marRight w:val="0"/>
      <w:marTop w:val="0"/>
      <w:marBottom w:val="0"/>
      <w:divBdr>
        <w:top w:val="none" w:sz="0" w:space="0" w:color="auto"/>
        <w:left w:val="none" w:sz="0" w:space="0" w:color="auto"/>
        <w:bottom w:val="none" w:sz="0" w:space="0" w:color="auto"/>
        <w:right w:val="none" w:sz="0" w:space="0" w:color="auto"/>
      </w:divBdr>
    </w:div>
    <w:div w:id="1866938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TotalTime>
  <Pages>2</Pages>
  <Words>423</Words>
  <Characters>2414</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Giorgia Nicosia</dc:creator>
  <cp:keywords/>
  <dc:description/>
  <cp:lastModifiedBy>Dineke Riët Slotman</cp:lastModifiedBy>
  <cp:revision>2</cp:revision>
  <dcterms:created xsi:type="dcterms:W3CDTF">2025-10-10T12:25:00Z</dcterms:created>
  <dcterms:modified xsi:type="dcterms:W3CDTF">2025-10-10T12:25:00Z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1c680bb8-5511-4ff6-98c7-2bf2060bd054</vt:lpwstr>
  </property>
</Properties>
</file>